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C7" w:rsidRDefault="00613BFE">
      <w:pPr>
        <w:tabs>
          <w:tab w:val="center" w:pos="4680"/>
          <w:tab w:val="right" w:pos="9360"/>
        </w:tabs>
        <w:spacing w:after="0" w:line="240" w:lineRule="auto"/>
        <w:jc w:val="center"/>
        <w:rPr>
          <w:rFonts w:ascii="Times New Roman" w:eastAsia="Times New Roman" w:hAnsi="Times New Roman" w:cs="Times New Roman"/>
          <w:b/>
          <w:smallCaps/>
          <w:sz w:val="40"/>
          <w:szCs w:val="40"/>
        </w:rPr>
      </w:pPr>
      <w:bookmarkStart w:id="0" w:name="_gjdgxs" w:colFirst="0" w:colLast="0"/>
      <w:bookmarkEnd w:id="0"/>
      <w:r>
        <w:rPr>
          <w:rFonts w:ascii="Times New Roman" w:eastAsia="Times New Roman" w:hAnsi="Times New Roman" w:cs="Times New Roman"/>
          <w:b/>
          <w:smallCaps/>
          <w:sz w:val="40"/>
          <w:szCs w:val="40"/>
        </w:rPr>
        <w:t>Texas Environmental Law Journal</w:t>
      </w:r>
    </w:p>
    <w:p w:rsidR="007D48C7" w:rsidRDefault="00613BFE">
      <w:pPr>
        <w:tabs>
          <w:tab w:val="center" w:pos="4680"/>
          <w:tab w:val="right" w:pos="9360"/>
        </w:tab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Vol. 50</w:t>
      </w:r>
    </w:p>
    <w:p w:rsidR="007D48C7" w:rsidRDefault="00613BFE">
      <w:pPr>
        <w:tabs>
          <w:tab w:val="center" w:pos="4680"/>
          <w:tab w:val="right" w:pos="936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39884" cy="2062365"/>
            <wp:effectExtent l="0" t="0" r="0" b="0"/>
            <wp:docPr id="1" name="image1.jpg" descr="Macintosh HD:Users:audrey:Desktop:TELJ.Logo2.jpg"/>
            <wp:cNvGraphicFramePr/>
            <a:graphic xmlns:a="http://schemas.openxmlformats.org/drawingml/2006/main">
              <a:graphicData uri="http://schemas.openxmlformats.org/drawingml/2006/picture">
                <pic:pic xmlns:pic="http://schemas.openxmlformats.org/drawingml/2006/picture">
                  <pic:nvPicPr>
                    <pic:cNvPr id="0" name="image1.jpg" descr="Macintosh HD:Users:audrey:Desktop:TELJ.Logo2.jpg"/>
                    <pic:cNvPicPr preferRelativeResize="0"/>
                  </pic:nvPicPr>
                  <pic:blipFill>
                    <a:blip r:embed="rId4"/>
                    <a:srcRect/>
                    <a:stretch>
                      <a:fillRect/>
                    </a:stretch>
                  </pic:blipFill>
                  <pic:spPr>
                    <a:xfrm>
                      <a:off x="0" y="0"/>
                      <a:ext cx="3139884" cy="2062365"/>
                    </a:xfrm>
                    <a:prstGeom prst="rect">
                      <a:avLst/>
                    </a:prstGeom>
                    <a:ln/>
                  </pic:spPr>
                </pic:pic>
              </a:graphicData>
            </a:graphic>
          </wp:inline>
        </w:drawing>
      </w:r>
    </w:p>
    <w:p w:rsidR="007D48C7" w:rsidRDefault="00613BFE">
      <w:pPr>
        <w:tabs>
          <w:tab w:val="center" w:pos="4680"/>
          <w:tab w:val="right" w:pos="9360"/>
        </w:tabs>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Spring 2020</w:t>
      </w:r>
      <w:r>
        <w:rPr>
          <w:rFonts w:ascii="Times New Roman" w:eastAsia="Times New Roman" w:hAnsi="Times New Roman" w:cs="Times New Roman"/>
          <w:b/>
          <w:sz w:val="36"/>
          <w:szCs w:val="36"/>
        </w:rPr>
        <w:t xml:space="preserve"> Cite-On Information Sheet</w:t>
      </w:r>
    </w:p>
    <w:p w:rsidR="007D48C7" w:rsidRDefault="007D48C7">
      <w:pPr>
        <w:tabs>
          <w:tab w:val="center" w:pos="4680"/>
          <w:tab w:val="right" w:pos="9360"/>
        </w:tabs>
        <w:spacing w:after="0" w:line="240" w:lineRule="auto"/>
        <w:jc w:val="center"/>
        <w:rPr>
          <w:rFonts w:ascii="Times New Roman" w:eastAsia="Times New Roman" w:hAnsi="Times New Roman" w:cs="Times New Roman"/>
          <w:b/>
          <w:sz w:val="36"/>
          <w:szCs w:val="36"/>
        </w:rPr>
      </w:pPr>
    </w:p>
    <w:p w:rsidR="007D48C7" w:rsidRDefault="00613BFE">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mallCaps/>
          <w:sz w:val="24"/>
          <w:szCs w:val="24"/>
        </w:rPr>
        <w:t xml:space="preserve"> Texas Environmental Law Journal (TELJ) </w:t>
      </w:r>
      <w:r>
        <w:rPr>
          <w:rFonts w:ascii="Times New Roman" w:eastAsia="Times New Roman" w:hAnsi="Times New Roman" w:cs="Times New Roman"/>
          <w:sz w:val="24"/>
          <w:szCs w:val="24"/>
        </w:rPr>
        <w:t>has been co-produced by law students from the University of Texas School of Law and members of the Environmental and Natural Resources Law Section of the State Bar of Texas since 1990. Published twice annually, TELJ boasts legal articles written by practit</w:t>
      </w:r>
      <w:r>
        <w:rPr>
          <w:rFonts w:ascii="Times New Roman" w:eastAsia="Times New Roman" w:hAnsi="Times New Roman" w:cs="Times New Roman"/>
          <w:sz w:val="24"/>
          <w:szCs w:val="24"/>
        </w:rPr>
        <w:t xml:space="preserve">ioners from across the country, student notes from a number of law schools, and recent development articles written by TELJ members with a practicing attorney. TELJ publishes articles and notes addressing a wide range of topics relating to advancements in </w:t>
      </w:r>
      <w:r>
        <w:rPr>
          <w:rFonts w:ascii="Times New Roman" w:eastAsia="Times New Roman" w:hAnsi="Times New Roman" w:cs="Times New Roman"/>
          <w:sz w:val="24"/>
          <w:szCs w:val="24"/>
        </w:rPr>
        <w:t xml:space="preserve">environmental and natural resources law, including water rights and regulations, air quality and regulation, waste, clean energy, endangered species, and environmental federalism. </w:t>
      </w:r>
    </w:p>
    <w:p w:rsidR="007D48C7" w:rsidRDefault="00613BFE">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is required to contribute approximately 60–90 citation checks (</w:t>
      </w:r>
      <w:r>
        <w:rPr>
          <w:rFonts w:ascii="Times New Roman" w:eastAsia="Times New Roman" w:hAnsi="Times New Roman" w:cs="Times New Roman"/>
          <w:sz w:val="24"/>
          <w:szCs w:val="24"/>
        </w:rPr>
        <w:t>or a comparable workload above-the-line) per semester for the journal. 1L Staff editors will have a lighter workload of approximately 40 citations this semester. Staff editors typically complete their editorial work within the first eight weeks of each sem</w:t>
      </w:r>
      <w:r>
        <w:rPr>
          <w:rFonts w:ascii="Times New Roman" w:eastAsia="Times New Roman" w:hAnsi="Times New Roman" w:cs="Times New Roman"/>
          <w:sz w:val="24"/>
          <w:szCs w:val="24"/>
        </w:rPr>
        <w:t>ester.</w:t>
      </w:r>
    </w:p>
    <w:p w:rsidR="007D48C7" w:rsidRDefault="00613BFE">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Membership benefits include weekly breakfasts, snacks or </w:t>
      </w:r>
      <w:r>
        <w:rPr>
          <w:rFonts w:ascii="Times New Roman" w:eastAsia="Times New Roman" w:hAnsi="Times New Roman" w:cs="Times New Roman"/>
          <w:sz w:val="24"/>
          <w:szCs w:val="24"/>
        </w:rPr>
        <w:t xml:space="preserve">lunches at 3 Core Sessions each semester, office snacks, a yearly banquet, a yearly symposium, a TELJ t-shirt, mug, and other swag.  </w:t>
      </w:r>
    </w:p>
    <w:p w:rsidR="007D48C7" w:rsidRDefault="00613BFE">
      <w:pPr>
        <w:spacing w:after="0" w:line="240" w:lineRule="auto"/>
        <w:ind w:left="1166" w:hanging="1170"/>
        <w:rPr>
          <w:rFonts w:ascii="Times New Roman" w:eastAsia="Times New Roman" w:hAnsi="Times New Roman" w:cs="Times New Roman"/>
          <w:sz w:val="24"/>
          <w:szCs w:val="24"/>
        </w:rPr>
      </w:pPr>
      <w:r>
        <w:rPr>
          <w:rFonts w:ascii="Times New Roman" w:eastAsia="Times New Roman" w:hAnsi="Times New Roman" w:cs="Times New Roman"/>
          <w:b/>
          <w:sz w:val="24"/>
          <w:szCs w:val="24"/>
        </w:rPr>
        <w:t>Deadline</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11:59 pm on Wednesday, February 26, 2020</w:t>
      </w:r>
      <w:r>
        <w:rPr>
          <w:rFonts w:ascii="Times New Roman" w:eastAsia="Times New Roman" w:hAnsi="Times New Roman" w:cs="Times New Roman"/>
          <w:sz w:val="24"/>
          <w:szCs w:val="24"/>
        </w:rPr>
        <w:t xml:space="preserve"> (email to TELJ)</w:t>
      </w:r>
    </w:p>
    <w:p w:rsidR="007D48C7" w:rsidRDefault="00613BFE">
      <w:pPr>
        <w:spacing w:after="0" w:line="240" w:lineRule="auto"/>
        <w:ind w:left="1166"/>
        <w:rPr>
          <w:rFonts w:ascii="Times New Roman" w:eastAsia="Times New Roman" w:hAnsi="Times New Roman" w:cs="Times New Roman"/>
          <w:color w:val="0000FF"/>
          <w:sz w:val="24"/>
          <w:szCs w:val="24"/>
        </w:rPr>
      </w:pPr>
      <w:hyperlink r:id="rId5">
        <w:r>
          <w:rPr>
            <w:rFonts w:ascii="Times New Roman" w:eastAsia="Times New Roman" w:hAnsi="Times New Roman" w:cs="Times New Roman"/>
            <w:color w:val="0000FF"/>
            <w:sz w:val="24"/>
            <w:szCs w:val="24"/>
          </w:rPr>
          <w:t>texasenvironmentallawjournal@gmail.com</w:t>
        </w:r>
      </w:hyperlink>
    </w:p>
    <w:p w:rsidR="007D48C7" w:rsidRDefault="00613BFE">
      <w:pPr>
        <w:spacing w:after="0" w:line="240" w:lineRule="auto"/>
        <w:ind w:left="1166"/>
        <w:rPr>
          <w:rFonts w:ascii="Times New Roman" w:eastAsia="Times New Roman" w:hAnsi="Times New Roman" w:cs="Times New Roman"/>
          <w:sz w:val="24"/>
          <w:szCs w:val="24"/>
        </w:rPr>
      </w:pPr>
      <w:hyperlink r:id="rId6">
        <w:r>
          <w:rPr>
            <w:rFonts w:ascii="Times New Roman" w:eastAsia="Times New Roman" w:hAnsi="Times New Roman" w:cs="Times New Roman"/>
            <w:color w:val="0000FF"/>
            <w:sz w:val="24"/>
            <w:szCs w:val="24"/>
            <w:u w:val="single"/>
          </w:rPr>
          <w:t>www.telj.org</w:t>
        </w:r>
      </w:hyperlink>
    </w:p>
    <w:p w:rsidR="007D48C7" w:rsidRDefault="007D48C7">
      <w:pPr>
        <w:spacing w:after="0" w:line="240" w:lineRule="auto"/>
        <w:rPr>
          <w:rFonts w:ascii="Times New Roman" w:eastAsia="Times New Roman" w:hAnsi="Times New Roman" w:cs="Times New Roman"/>
          <w:sz w:val="24"/>
          <w:szCs w:val="24"/>
        </w:rPr>
      </w:pPr>
    </w:p>
    <w:p w:rsidR="007D48C7" w:rsidRDefault="00613BFE">
      <w:pPr>
        <w:ind w:left="1170" w:hanging="117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Applicant Information:</w:t>
      </w:r>
    </w:p>
    <w:p w:rsidR="007D48C7" w:rsidRDefault="00613BFE">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Expected</w:t>
      </w:r>
      <w:r>
        <w:rPr>
          <w:rFonts w:ascii="Times New Roman" w:eastAsia="Times New Roman" w:hAnsi="Times New Roman" w:cs="Times New Roman"/>
          <w:sz w:val="24"/>
          <w:szCs w:val="24"/>
        </w:rPr>
        <w:t xml:space="preserve"> Graduation Year: </w:t>
      </w:r>
      <w:r>
        <w:rPr>
          <w:rFonts w:ascii="Times New Roman" w:eastAsia="Times New Roman" w:hAnsi="Times New Roman" w:cs="Times New Roman"/>
          <w:sz w:val="24"/>
          <w:szCs w:val="24"/>
        </w:rPr>
        <w:tab/>
      </w:r>
    </w:p>
    <w:p w:rsidR="007D48C7" w:rsidRDefault="00613BFE">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E-mail: </w:t>
      </w:r>
      <w:r>
        <w:rPr>
          <w:rFonts w:ascii="Times New Roman" w:eastAsia="Times New Roman" w:hAnsi="Times New Roman" w:cs="Times New Roman"/>
          <w:sz w:val="24"/>
          <w:szCs w:val="24"/>
          <w:u w:val="single"/>
        </w:rPr>
        <w:tab/>
      </w:r>
    </w:p>
    <w:p w:rsidR="007D48C7" w:rsidRDefault="007D48C7">
      <w:pPr>
        <w:tabs>
          <w:tab w:val="center" w:pos="4680"/>
          <w:tab w:val="right" w:pos="9360"/>
        </w:tabs>
        <w:spacing w:after="0" w:line="240" w:lineRule="auto"/>
        <w:rPr>
          <w:rFonts w:ascii="Times New Roman" w:eastAsia="Times New Roman" w:hAnsi="Times New Roman" w:cs="Times New Roman"/>
          <w:sz w:val="24"/>
          <w:szCs w:val="24"/>
        </w:rPr>
      </w:pPr>
    </w:p>
    <w:p w:rsidR="007D48C7" w:rsidRDefault="00613BFE">
      <w:pPr>
        <w:jc w:val="both"/>
        <w:rPr>
          <w:rFonts w:ascii="Times New Roman" w:eastAsia="Times New Roman" w:hAnsi="Times New Roman" w:cs="Times New Roman"/>
          <w:sz w:val="24"/>
          <w:szCs w:val="24"/>
        </w:rPr>
      </w:pPr>
      <w:bookmarkStart w:id="1" w:name="_30j0zll" w:colFirst="0" w:colLast="0"/>
      <w:bookmarkStart w:id="2" w:name="_GoBack"/>
      <w:bookmarkEnd w:id="1"/>
      <w:bookmarkEnd w:id="2"/>
      <w:r>
        <w:rPr>
          <w:rFonts w:ascii="Times New Roman" w:eastAsia="Times New Roman" w:hAnsi="Times New Roman" w:cs="Times New Roman"/>
          <w:b/>
          <w:sz w:val="24"/>
          <w:szCs w:val="24"/>
        </w:rPr>
        <w:lastRenderedPageBreak/>
        <w:t>Application</w:t>
      </w:r>
      <w:r>
        <w:rPr>
          <w:rFonts w:ascii="Times New Roman" w:eastAsia="Times New Roman" w:hAnsi="Times New Roman" w:cs="Times New Roman"/>
          <w:sz w:val="24"/>
          <w:szCs w:val="24"/>
        </w:rPr>
        <w:t>: Please submit (1) your résumé, and (2) complete the citations below.</w:t>
      </w:r>
    </w:p>
    <w:p w:rsidR="007D48C7" w:rsidRDefault="00613BFE">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Instructions:</w:t>
      </w:r>
      <w:r>
        <w:rPr>
          <w:rFonts w:ascii="Times New Roman" w:eastAsia="Times New Roman" w:hAnsi="Times New Roman" w:cs="Times New Roman"/>
          <w:sz w:val="24"/>
          <w:szCs w:val="24"/>
        </w:rPr>
        <w:t xml:space="preserve"> Using the Bluebook and the </w:t>
      </w:r>
      <w:proofErr w:type="spellStart"/>
      <w:r>
        <w:rPr>
          <w:rFonts w:ascii="Times New Roman" w:eastAsia="Times New Roman" w:hAnsi="Times New Roman" w:cs="Times New Roman"/>
          <w:sz w:val="24"/>
          <w:szCs w:val="24"/>
        </w:rPr>
        <w:t>Greenbook</w:t>
      </w:r>
      <w:proofErr w:type="spellEnd"/>
      <w:r>
        <w:rPr>
          <w:rFonts w:ascii="Times New Roman" w:eastAsia="Times New Roman" w:hAnsi="Times New Roman" w:cs="Times New Roman"/>
          <w:sz w:val="24"/>
          <w:szCs w:val="24"/>
        </w:rPr>
        <w:t xml:space="preserve">, please edit the following citations (there may be multiple errors). If the citation is correct simply write “Correct.” Please include the rule that you applied (e.g. BB R.12.1; GB R.6.1) and use </w:t>
      </w:r>
      <w:r>
        <w:rPr>
          <w:rFonts w:ascii="Times New Roman" w:eastAsia="Times New Roman" w:hAnsi="Times New Roman" w:cs="Times New Roman"/>
          <w:b/>
          <w:sz w:val="24"/>
          <w:szCs w:val="24"/>
        </w:rPr>
        <w:t>Bluebook typeface conv</w:t>
      </w:r>
      <w:r>
        <w:rPr>
          <w:rFonts w:ascii="Times New Roman" w:eastAsia="Times New Roman" w:hAnsi="Times New Roman" w:cs="Times New Roman"/>
          <w:b/>
          <w:sz w:val="24"/>
          <w:szCs w:val="24"/>
        </w:rPr>
        <w:t>entions</w:t>
      </w:r>
      <w:r>
        <w:rPr>
          <w:rFonts w:ascii="Times New Roman" w:eastAsia="Times New Roman" w:hAnsi="Times New Roman" w:cs="Times New Roman"/>
          <w:sz w:val="24"/>
          <w:szCs w:val="24"/>
        </w:rPr>
        <w:t xml:space="preserve"> from the white pages. (Two notes: (1) the date in sample 2 is correct; (2) the dash in sample 4 is correct).</w:t>
      </w:r>
    </w:p>
    <w:p w:rsidR="007D48C7" w:rsidRDefault="00613BFE">
      <w:pPr>
        <w:spacing w:after="12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Example</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Cooper v. Texas Department of Human Resources</w:t>
      </w:r>
      <w:r>
        <w:rPr>
          <w:rFonts w:ascii="Times New Roman" w:eastAsia="Times New Roman" w:hAnsi="Times New Roman" w:cs="Times New Roman"/>
          <w:sz w:val="24"/>
          <w:szCs w:val="24"/>
        </w:rPr>
        <w:t xml:space="preserve">, 691 S. W. 2d 807, 808 (Tex. App.-Austin 1986, writ ref’d </w:t>
      </w:r>
      <w:proofErr w:type="spellStart"/>
      <w:r>
        <w:rPr>
          <w:rFonts w:ascii="Times New Roman" w:eastAsia="Times New Roman" w:hAnsi="Times New Roman" w:cs="Times New Roman"/>
          <w:sz w:val="24"/>
          <w:szCs w:val="24"/>
        </w:rPr>
        <w:t>n.r.e</w:t>
      </w:r>
      <w:proofErr w:type="spellEnd"/>
      <w:r>
        <w:rPr>
          <w:rFonts w:ascii="Times New Roman" w:eastAsia="Times New Roman" w:hAnsi="Times New Roman" w:cs="Times New Roman"/>
          <w:sz w:val="24"/>
          <w:szCs w:val="24"/>
        </w:rPr>
        <w:t>.).</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Corrected Cite:</w:t>
      </w:r>
      <w:r>
        <w:rPr>
          <w:rFonts w:ascii="Times New Roman" w:eastAsia="Times New Roman" w:hAnsi="Times New Roman" w:cs="Times New Roman"/>
          <w:sz w:val="24"/>
          <w:szCs w:val="24"/>
        </w:rPr>
        <w:t xml:space="preserve"> Cooper v. Tex. Dep’t of Hum. Res., 691 S.W.2d 807, 808 (Tex. App.—Austin 1986, writ ref’d </w:t>
      </w:r>
      <w:proofErr w:type="spellStart"/>
      <w:r>
        <w:rPr>
          <w:rFonts w:ascii="Times New Roman" w:eastAsia="Times New Roman" w:hAnsi="Times New Roman" w:cs="Times New Roman"/>
          <w:sz w:val="24"/>
          <w:szCs w:val="24"/>
        </w:rPr>
        <w:t>n.r.e</w:t>
      </w:r>
      <w:proofErr w:type="spellEnd"/>
      <w:r>
        <w:rPr>
          <w:rFonts w:ascii="Times New Roman" w:eastAsia="Times New Roman" w:hAnsi="Times New Roman" w:cs="Times New Roman"/>
          <w:sz w:val="24"/>
          <w:szCs w:val="24"/>
        </w:rPr>
        <w:t>.).</w:t>
      </w:r>
    </w:p>
    <w:p w:rsidR="007D48C7" w:rsidRDefault="00613BFE">
      <w:pPr>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Rules Applied</w:t>
      </w:r>
      <w:r>
        <w:rPr>
          <w:rFonts w:ascii="Times New Roman" w:eastAsia="Times New Roman" w:hAnsi="Times New Roman" w:cs="Times New Roman"/>
          <w:sz w:val="24"/>
          <w:szCs w:val="24"/>
        </w:rPr>
        <w:t>: GB R.4.1, BB R.10</w:t>
      </w:r>
    </w:p>
    <w:p w:rsidR="007D48C7" w:rsidRDefault="00613BF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Sample Citations (from Vol. 48 of TELJ):</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Edwards Aquifer Authority v. Day</w:t>
      </w:r>
      <w:r>
        <w:rPr>
          <w:rFonts w:ascii="Times New Roman" w:eastAsia="Times New Roman" w:hAnsi="Times New Roman" w:cs="Times New Roman"/>
          <w:sz w:val="24"/>
          <w:szCs w:val="24"/>
        </w:rPr>
        <w:t>, 369 S. W. 3d 53</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64 (Tex. 2012).</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 xml:space="preserve">Corrected </w:t>
      </w:r>
      <w:r>
        <w:rPr>
          <w:rFonts w:ascii="Times New Roman" w:eastAsia="Times New Roman" w:hAnsi="Times New Roman" w:cs="Times New Roman"/>
          <w:smallCaps/>
          <w:sz w:val="24"/>
          <w:szCs w:val="24"/>
        </w:rPr>
        <w:t>Cite:</w:t>
      </w:r>
      <w:r>
        <w:rPr>
          <w:rFonts w:ascii="Times New Roman" w:eastAsia="Times New Roman" w:hAnsi="Times New Roman" w:cs="Times New Roman"/>
          <w:sz w:val="24"/>
          <w:szCs w:val="24"/>
        </w:rPr>
        <w:t xml:space="preserve"> </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Rules Applied</w:t>
      </w:r>
      <w:r>
        <w:rPr>
          <w:rFonts w:ascii="Times New Roman" w:eastAsia="Times New Roman" w:hAnsi="Times New Roman" w:cs="Times New Roman"/>
          <w:sz w:val="24"/>
          <w:szCs w:val="24"/>
        </w:rPr>
        <w:t xml:space="preserve">: </w:t>
      </w:r>
    </w:p>
    <w:p w:rsidR="007D48C7" w:rsidRDefault="007D48C7">
      <w:pPr>
        <w:spacing w:after="120" w:line="240" w:lineRule="auto"/>
        <w:rPr>
          <w:rFonts w:ascii="Times New Roman" w:eastAsia="Times New Roman" w:hAnsi="Times New Roman" w:cs="Times New Roman"/>
          <w:sz w:val="24"/>
          <w:szCs w:val="24"/>
        </w:rPr>
      </w:pP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5 USC Section 553 (b</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B) (2012)</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Corrected Cite:</w:t>
      </w:r>
      <w:r>
        <w:rPr>
          <w:rFonts w:ascii="Times New Roman" w:eastAsia="Times New Roman" w:hAnsi="Times New Roman" w:cs="Times New Roman"/>
          <w:sz w:val="24"/>
          <w:szCs w:val="24"/>
        </w:rPr>
        <w:t xml:space="preserve"> </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Rules Applied</w:t>
      </w:r>
      <w:r>
        <w:rPr>
          <w:rFonts w:ascii="Times New Roman" w:eastAsia="Times New Roman" w:hAnsi="Times New Roman" w:cs="Times New Roman"/>
          <w:sz w:val="24"/>
          <w:szCs w:val="24"/>
        </w:rPr>
        <w:t xml:space="preserve">: </w:t>
      </w:r>
    </w:p>
    <w:p w:rsidR="007D48C7" w:rsidRDefault="007D48C7">
      <w:pPr>
        <w:spacing w:after="120" w:line="240" w:lineRule="auto"/>
        <w:rPr>
          <w:rFonts w:ascii="Times New Roman" w:eastAsia="Times New Roman" w:hAnsi="Times New Roman" w:cs="Times New Roman"/>
          <w:sz w:val="24"/>
          <w:szCs w:val="24"/>
        </w:rPr>
      </w:pP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i/>
          <w:sz w:val="24"/>
          <w:szCs w:val="24"/>
        </w:rPr>
        <w:t>Id. at 36-37.</w:t>
      </w:r>
      <w:r>
        <w:rPr>
          <w:rFonts w:ascii="Times New Roman" w:eastAsia="Times New Roman" w:hAnsi="Times New Roman" w:cs="Times New Roman"/>
          <w:sz w:val="24"/>
          <w:szCs w:val="24"/>
        </w:rPr>
        <w:t xml:space="preserve"> </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Corrected Cite:</w:t>
      </w:r>
      <w:r>
        <w:rPr>
          <w:rFonts w:ascii="Times New Roman" w:eastAsia="Times New Roman" w:hAnsi="Times New Roman" w:cs="Times New Roman"/>
          <w:sz w:val="24"/>
          <w:szCs w:val="24"/>
        </w:rPr>
        <w:t xml:space="preserve"> </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Rules Applied</w:t>
      </w:r>
      <w:r>
        <w:rPr>
          <w:rFonts w:ascii="Times New Roman" w:eastAsia="Times New Roman" w:hAnsi="Times New Roman" w:cs="Times New Roman"/>
          <w:sz w:val="24"/>
          <w:szCs w:val="24"/>
        </w:rPr>
        <w:t xml:space="preserve">: </w:t>
      </w:r>
    </w:p>
    <w:p w:rsidR="007D48C7" w:rsidRDefault="007D48C7">
      <w:pPr>
        <w:spacing w:after="120" w:line="240" w:lineRule="auto"/>
        <w:rPr>
          <w:rFonts w:ascii="Times New Roman" w:eastAsia="Times New Roman" w:hAnsi="Times New Roman" w:cs="Times New Roman"/>
          <w:sz w:val="24"/>
          <w:szCs w:val="24"/>
        </w:rPr>
      </w:pP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i/>
          <w:sz w:val="24"/>
          <w:szCs w:val="24"/>
        </w:rPr>
        <w:t xml:space="preserve">See </w:t>
      </w:r>
      <w:r>
        <w:rPr>
          <w:rFonts w:ascii="Times New Roman" w:eastAsia="Times New Roman" w:hAnsi="Times New Roman" w:cs="Times New Roman"/>
          <w:sz w:val="24"/>
          <w:szCs w:val="24"/>
        </w:rPr>
        <w:t xml:space="preserve">Thomas W. Merrill and Kathryn Tongue Watts, Agency Rules with the Force of </w:t>
      </w:r>
      <w:proofErr w:type="gramStart"/>
      <w:r>
        <w:rPr>
          <w:rFonts w:ascii="Times New Roman" w:eastAsia="Times New Roman" w:hAnsi="Times New Roman" w:cs="Times New Roman"/>
          <w:sz w:val="24"/>
          <w:szCs w:val="24"/>
        </w:rPr>
        <w:t>Law :</w:t>
      </w:r>
      <w:proofErr w:type="gramEnd"/>
      <w:r>
        <w:rPr>
          <w:rFonts w:ascii="Times New Roman" w:eastAsia="Times New Roman" w:hAnsi="Times New Roman" w:cs="Times New Roman"/>
          <w:sz w:val="24"/>
          <w:szCs w:val="24"/>
        </w:rPr>
        <w:t xml:space="preserve"> The Original Convent</w:t>
      </w:r>
      <w:r>
        <w:rPr>
          <w:rFonts w:ascii="Times New Roman" w:eastAsia="Times New Roman" w:hAnsi="Times New Roman" w:cs="Times New Roman"/>
          <w:sz w:val="24"/>
          <w:szCs w:val="24"/>
        </w:rPr>
        <w:t>ion, 116 Harvard Law Review 467, 587-590 (2002).</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Corrected Cite:</w:t>
      </w:r>
      <w:r>
        <w:rPr>
          <w:rFonts w:ascii="Times New Roman" w:eastAsia="Times New Roman" w:hAnsi="Times New Roman" w:cs="Times New Roman"/>
          <w:sz w:val="24"/>
          <w:szCs w:val="24"/>
        </w:rPr>
        <w:t xml:space="preserve"> </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Rules Applied</w:t>
      </w:r>
      <w:r>
        <w:rPr>
          <w:rFonts w:ascii="Times New Roman" w:eastAsia="Times New Roman" w:hAnsi="Times New Roman" w:cs="Times New Roman"/>
          <w:sz w:val="24"/>
          <w:szCs w:val="24"/>
        </w:rPr>
        <w:t xml:space="preserve">: </w:t>
      </w:r>
    </w:p>
    <w:p w:rsidR="007D48C7" w:rsidRDefault="007D48C7">
      <w:pPr>
        <w:spacing w:after="120" w:line="240" w:lineRule="auto"/>
        <w:rPr>
          <w:rFonts w:ascii="Times New Roman" w:eastAsia="Times New Roman" w:hAnsi="Times New Roman" w:cs="Times New Roman"/>
          <w:sz w:val="24"/>
          <w:szCs w:val="24"/>
        </w:rPr>
      </w:pPr>
    </w:p>
    <w:p w:rsidR="007D48C7" w:rsidRDefault="00613BFE">
      <w:pPr>
        <w:spacing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 Regional Haze and Interstate Visibility Transport Federal Implementation Plan 82 </w:t>
      </w:r>
      <w:proofErr w:type="spellStart"/>
      <w:r>
        <w:rPr>
          <w:rFonts w:ascii="Times New Roman" w:eastAsia="Times New Roman" w:hAnsi="Times New Roman" w:cs="Times New Roman"/>
          <w:sz w:val="24"/>
          <w:szCs w:val="24"/>
        </w:rPr>
        <w:t>Fed.Reg</w:t>
      </w:r>
      <w:proofErr w:type="spellEnd"/>
      <w:r>
        <w:rPr>
          <w:rFonts w:ascii="Times New Roman" w:eastAsia="Times New Roman" w:hAnsi="Times New Roman" w:cs="Times New Roman"/>
          <w:sz w:val="24"/>
          <w:szCs w:val="24"/>
        </w:rPr>
        <w:t>. 48324, (Oct. 17, 2017) (to be codified at 40 CFR parts 52, 97)</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Corrected Cite:</w:t>
      </w:r>
    </w:p>
    <w:p w:rsidR="007D48C7" w:rsidRDefault="00613BFE">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mallCaps/>
          <w:sz w:val="24"/>
          <w:szCs w:val="24"/>
        </w:rPr>
        <w:t>Rules Applied</w:t>
      </w:r>
      <w:r>
        <w:rPr>
          <w:rFonts w:ascii="Times New Roman" w:eastAsia="Times New Roman" w:hAnsi="Times New Roman" w:cs="Times New Roman"/>
          <w:sz w:val="24"/>
          <w:szCs w:val="24"/>
        </w:rPr>
        <w:t xml:space="preserve">: </w:t>
      </w:r>
    </w:p>
    <w:sectPr w:rsidR="007D48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C7"/>
    <w:rsid w:val="00613BFE"/>
    <w:rsid w:val="007D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806C9-CE7B-4292-8EBC-C3DACDDC3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j.org" TargetMode="External"/><Relationship Id="rId5" Type="http://schemas.openxmlformats.org/officeDocument/2006/relationships/hyperlink" Target="mailto:texasenvironmentallawjournal@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Lower Colorado River Authority</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Martinez</dc:creator>
  <cp:lastModifiedBy>Jensen Martinez</cp:lastModifiedBy>
  <cp:revision>2</cp:revision>
  <dcterms:created xsi:type="dcterms:W3CDTF">2020-02-18T19:04:00Z</dcterms:created>
  <dcterms:modified xsi:type="dcterms:W3CDTF">2020-02-18T19:04:00Z</dcterms:modified>
</cp:coreProperties>
</file>